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83" w:rsidRPr="00F1326D" w:rsidRDefault="00670583" w:rsidP="00670583">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p>
    <w:p w:rsidR="00670583" w:rsidRPr="00F1326D" w:rsidRDefault="00670583" w:rsidP="00670583">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670583" w:rsidRPr="00F1326D" w:rsidRDefault="00670583" w:rsidP="00670583">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670583" w:rsidRPr="00DE344E" w:rsidRDefault="00670583" w:rsidP="00670583">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670583" w:rsidRPr="00F1326D" w:rsidRDefault="00670583" w:rsidP="00670583">
      <w:pPr>
        <w:suppressAutoHyphens/>
        <w:spacing w:after="0" w:line="240" w:lineRule="auto"/>
        <w:jc w:val="both"/>
        <w:rPr>
          <w:rFonts w:ascii="Tahoma" w:eastAsia="Times New Roman" w:hAnsi="Tahoma" w:cs="Tahoma"/>
          <w:sz w:val="18"/>
          <w:szCs w:val="18"/>
          <w:lang w:eastAsia="ar-SA"/>
        </w:rPr>
      </w:pPr>
    </w:p>
    <w:p w:rsidR="00670583" w:rsidRPr="00F1326D" w:rsidRDefault="00670583" w:rsidP="00670583">
      <w:pPr>
        <w:suppressAutoHyphens/>
        <w:spacing w:after="0" w:line="240" w:lineRule="auto"/>
        <w:rPr>
          <w:rFonts w:ascii="Tahoma" w:eastAsia="Times New Roman" w:hAnsi="Tahoma" w:cs="Tahoma"/>
          <w:sz w:val="18"/>
          <w:szCs w:val="18"/>
          <w:lang w:eastAsia="ar-SA"/>
        </w:rPr>
      </w:pPr>
    </w:p>
    <w:p w:rsidR="00B6555E" w:rsidRPr="00B6555E" w:rsidRDefault="00670583" w:rsidP="006F1518">
      <w:pPr>
        <w:pStyle w:val="NormaleWeb"/>
        <w:pBdr>
          <w:top w:val="double" w:sz="2" w:space="1" w:color="000000"/>
          <w:left w:val="double" w:sz="2" w:space="1" w:color="000000"/>
          <w:bottom w:val="double" w:sz="2" w:space="1" w:color="000000"/>
          <w:right w:val="double" w:sz="2" w:space="1" w:color="000000"/>
        </w:pBdr>
        <w:jc w:val="both"/>
        <w:rPr>
          <w:rFonts w:ascii="Tahoma" w:hAnsi="Tahoma" w:cs="Tahoma"/>
          <w:b/>
          <w:bCs/>
          <w:sz w:val="20"/>
          <w:szCs w:val="20"/>
          <w:lang w:eastAsia="ar-SA" w:bidi="it-IT"/>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bookmarkStart w:id="0" w:name="_Hlk63411840"/>
      <w:r w:rsidR="005D2850" w:rsidRPr="005D2850">
        <w:rPr>
          <w:rFonts w:ascii="Tahoma" w:hAnsi="Tahoma" w:cs="Tahoma"/>
          <w:b/>
          <w:bCs/>
          <w:sz w:val="20"/>
          <w:szCs w:val="20"/>
          <w:lang w:eastAsia="ar-SA" w:bidi="it-IT"/>
        </w:rPr>
        <w:t>PROCEDURA APERTA PER L’AFFIDAMENTO DEI LAVORI DI MANUTENZIONE STRAORDINARIA E RIPRISTINO DISSESTI DELLA STRADA COMUNALE DI SARMATA.  CUP: B77H20002600006”</w:t>
      </w:r>
      <w:r w:rsidR="007D0CFC" w:rsidRPr="007D0CFC">
        <w:rPr>
          <w:rFonts w:ascii="Tahoma" w:hAnsi="Tahoma" w:cs="Tahoma"/>
          <w:b/>
          <w:bCs/>
          <w:sz w:val="20"/>
          <w:szCs w:val="20"/>
          <w:lang w:eastAsia="ar-SA" w:bidi="it-IT"/>
        </w:rPr>
        <w:t xml:space="preserve"> CIG: </w:t>
      </w:r>
      <w:r w:rsidR="00703C00" w:rsidRPr="00703C00">
        <w:rPr>
          <w:rFonts w:ascii="Tahoma" w:hAnsi="Tahoma" w:cs="Tahoma"/>
          <w:b/>
          <w:bCs/>
          <w:sz w:val="20"/>
          <w:szCs w:val="20"/>
          <w:lang w:eastAsia="ar-SA" w:bidi="it-IT"/>
        </w:rPr>
        <w:t>8775835025</w:t>
      </w:r>
      <w:r w:rsidR="007D0CFC">
        <w:rPr>
          <w:rFonts w:ascii="Tahoma" w:hAnsi="Tahoma" w:cs="Tahoma"/>
          <w:b/>
          <w:bCs/>
          <w:sz w:val="20"/>
          <w:szCs w:val="20"/>
          <w:lang w:eastAsia="ar-SA" w:bidi="it-IT"/>
        </w:rPr>
        <w:t>.</w:t>
      </w:r>
    </w:p>
    <w:bookmarkEnd w:id="0"/>
    <w:p w:rsidR="00670583" w:rsidRPr="00F1326D" w:rsidRDefault="00670583" w:rsidP="00670583">
      <w:pPr>
        <w:suppressAutoHyphens/>
        <w:spacing w:after="240" w:line="240" w:lineRule="auto"/>
        <w:ind w:left="28"/>
        <w:jc w:val="both"/>
        <w:rPr>
          <w:rFonts w:ascii="Tahoma" w:eastAsia="Arial Unicode MS" w:hAnsi="Tahoma" w:cs="Tahoma"/>
          <w:color w:val="FF0000"/>
          <w:kern w:val="1"/>
          <w:sz w:val="24"/>
          <w:szCs w:val="24"/>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bookmarkStart w:id="1" w:name="OLE_LINK1"/>
            <w:bookmarkStart w:id="2" w:name="OLE_LINK2"/>
            <w:bookmarkStart w:id="3" w:name="_Hlk254170315"/>
            <w:bookmarkEnd w:id="1"/>
            <w:bookmarkEnd w:id="2"/>
            <w:bookmarkEnd w:id="3"/>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63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71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81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42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bl>
    <w:p w:rsidR="00670583" w:rsidRPr="00F1326D" w:rsidRDefault="00670583" w:rsidP="00670583">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670583" w:rsidRPr="00F1326D" w:rsidRDefault="00670583" w:rsidP="00670583">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670583" w:rsidRPr="00F1326D" w:rsidRDefault="00670583" w:rsidP="00670583">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670583" w:rsidRDefault="00670583" w:rsidP="00670583">
      <w:pPr>
        <w:spacing w:after="62" w:line="240" w:lineRule="auto"/>
        <w:ind w:left="720"/>
        <w:jc w:val="both"/>
        <w:rPr>
          <w:rFonts w:ascii="Tahoma" w:eastAsia="Times New Roman" w:hAnsi="Tahoma" w:cs="Tahoma"/>
          <w:color w:val="000000"/>
          <w:sz w:val="20"/>
          <w:szCs w:val="20"/>
        </w:rPr>
      </w:pPr>
      <w:bookmarkStart w:id="4" w:name="_Hlk20993278"/>
      <w:r>
        <w:rPr>
          <w:rFonts w:ascii="Tahoma" w:eastAsia="Times New Roman" w:hAnsi="Tahoma" w:cs="Tahoma"/>
          <w:color w:val="000000"/>
          <w:sz w:val="20"/>
          <w:szCs w:val="20"/>
        </w:rPr>
        <w:t>□ di tipo orizzontale □ di tipo verticale □ di tipo misto;</w:t>
      </w:r>
    </w:p>
    <w:bookmarkEnd w:id="4"/>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mandante di Raggruppamento Temporaneo di concorrenti o di Consorzio ex art. 45, comma 2, lett. d) ed e) del D.Lgs. n. 50/2016</w:t>
      </w:r>
    </w:p>
    <w:p w:rsidR="00670583" w:rsidRDefault="00670583" w:rsidP="00670583">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consorzio fra società cooperative di produzione e lavoro ai sensi dell’art. 45, comma 2, lett. b) del D.Lgs. n.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tra imprese artigiane </w:t>
      </w:r>
      <w:bookmarkStart w:id="5" w:name="_Hlk20993322"/>
      <w:r w:rsidRPr="00F1326D">
        <w:rPr>
          <w:rFonts w:ascii="Tahoma" w:eastAsia="Times New Roman" w:hAnsi="Tahoma" w:cs="Tahoma"/>
          <w:color w:val="000000"/>
          <w:sz w:val="20"/>
          <w:szCs w:val="20"/>
          <w:lang w:eastAsia="ar-SA"/>
        </w:rPr>
        <w:t>ai sensi dell’art. 45, comma 2, lett. b) del D.Lgs. n. 50/2016;</w:t>
      </w:r>
    </w:p>
    <w:bookmarkEnd w:id="5"/>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consorzio stabile ex art. 45, comma 2, lett. c) del D. Lgs. 50/2016;</w:t>
      </w:r>
    </w:p>
    <w:p w:rsidR="0070498B" w:rsidRPr="00ED2535" w:rsidRDefault="0070498B"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ED2535">
        <w:rPr>
          <w:rFonts w:ascii="Tahoma" w:eastAsia="Times New Roman" w:hAnsi="Tahoma" w:cs="Tahoma"/>
          <w:color w:val="000000"/>
          <w:sz w:val="20"/>
          <w:szCs w:val="20"/>
          <w:lang w:eastAsia="ar-SA"/>
        </w:rPr>
        <w:t>operatore economico che si avvale di operatore economico ausiliario;</w:t>
      </w:r>
    </w:p>
    <w:p w:rsidR="00670583" w:rsidRPr="00ED2535" w:rsidRDefault="0070498B" w:rsidP="00670583">
      <w:pPr>
        <w:numPr>
          <w:ilvl w:val="0"/>
          <w:numId w:val="2"/>
        </w:numPr>
        <w:suppressAutoHyphens/>
        <w:spacing w:after="62" w:line="240" w:lineRule="auto"/>
        <w:jc w:val="both"/>
        <w:rPr>
          <w:rFonts w:ascii="Tahoma" w:eastAsia="Times New Roman" w:hAnsi="Tahoma" w:cs="Tahoma"/>
          <w:color w:val="000000"/>
          <w:sz w:val="20"/>
          <w:szCs w:val="20"/>
        </w:rPr>
      </w:pPr>
      <w:r w:rsidRPr="00ED2535">
        <w:rPr>
          <w:rFonts w:ascii="Tahoma" w:eastAsia="Times New Roman" w:hAnsi="Tahoma" w:cs="Tahoma"/>
          <w:color w:val="000000"/>
          <w:sz w:val="20"/>
          <w:szCs w:val="20"/>
        </w:rPr>
        <w:t>operatore economico</w:t>
      </w:r>
      <w:r w:rsidR="00670583" w:rsidRPr="00ED2535">
        <w:rPr>
          <w:rFonts w:ascii="Tahoma" w:eastAsia="Times New Roman" w:hAnsi="Tahoma" w:cs="Tahoma"/>
          <w:color w:val="000000"/>
          <w:sz w:val="20"/>
          <w:szCs w:val="20"/>
        </w:rPr>
        <w:t xml:space="preserve"> ausiliari</w:t>
      </w:r>
      <w:r w:rsidRPr="00ED2535">
        <w:rPr>
          <w:rFonts w:ascii="Tahoma" w:eastAsia="Times New Roman" w:hAnsi="Tahoma" w:cs="Tahoma"/>
          <w:color w:val="000000"/>
          <w:sz w:val="20"/>
          <w:szCs w:val="20"/>
        </w:rPr>
        <w:t>o</w:t>
      </w:r>
      <w:r w:rsidR="00670583" w:rsidRPr="00ED2535">
        <w:rPr>
          <w:rFonts w:ascii="Tahoma" w:eastAsia="Times New Roman" w:hAnsi="Tahoma" w:cs="Tahoma"/>
          <w:color w:val="000000"/>
          <w:sz w:val="20"/>
          <w:szCs w:val="20"/>
        </w:rPr>
        <w:t xml:space="preserve"> (in caso di ricorso all’avvalimento);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670583" w:rsidRPr="00F1326D" w:rsidRDefault="00670583" w:rsidP="00670583">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stabilito in altro Stato membro ex art. 45, comma 1, del D.Lgs.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670583" w:rsidRPr="00F1326D" w:rsidRDefault="00670583" w:rsidP="00670583">
      <w:pPr>
        <w:suppressAutoHyphens/>
        <w:spacing w:after="62" w:line="240" w:lineRule="auto"/>
        <w:ind w:left="426"/>
        <w:jc w:val="center"/>
        <w:rPr>
          <w:rFonts w:ascii="Tahoma" w:eastAsia="Times New Roman" w:hAnsi="Tahoma" w:cs="Tahoma"/>
          <w:color w:val="000000"/>
          <w:sz w:val="20"/>
          <w:szCs w:val="20"/>
          <w:lang w:eastAsia="ar-SA"/>
        </w:rPr>
      </w:pPr>
    </w:p>
    <w:p w:rsidR="00670583" w:rsidRDefault="00670583" w:rsidP="00670583">
      <w:pPr>
        <w:suppressAutoHyphens/>
        <w:spacing w:before="119" w:after="0" w:line="240" w:lineRule="auto"/>
        <w:jc w:val="center"/>
        <w:rPr>
          <w:rFonts w:ascii="Tahoma" w:eastAsia="Times New Roman" w:hAnsi="Tahoma" w:cs="Tahoma"/>
          <w:b/>
          <w:sz w:val="20"/>
          <w:szCs w:val="20"/>
          <w:lang w:eastAsia="ar-SA"/>
        </w:rPr>
      </w:pPr>
      <w:r w:rsidRPr="00F1326D">
        <w:rPr>
          <w:rFonts w:ascii="Tahoma" w:eastAsia="Times New Roman" w:hAnsi="Tahoma" w:cs="Tahoma"/>
          <w:b/>
          <w:sz w:val="20"/>
          <w:szCs w:val="20"/>
          <w:lang w:eastAsia="ar-SA"/>
        </w:rPr>
        <w:t>e DICHIARA</w:t>
      </w:r>
    </w:p>
    <w:p w:rsidR="00450947" w:rsidRPr="00F1326D" w:rsidRDefault="00450947" w:rsidP="00670583">
      <w:pPr>
        <w:suppressAutoHyphens/>
        <w:spacing w:before="119" w:after="0" w:line="240" w:lineRule="auto"/>
        <w:jc w:val="center"/>
        <w:rPr>
          <w:rFonts w:ascii="Tahoma" w:eastAsia="Times New Roman" w:hAnsi="Tahoma" w:cs="Tahoma"/>
          <w:sz w:val="20"/>
          <w:szCs w:val="20"/>
          <w:lang w:eastAsia="ar-SA"/>
        </w:rPr>
      </w:pP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670583" w:rsidRPr="00F1326D" w:rsidRDefault="00670583" w:rsidP="00670583">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w:t>
      </w:r>
      <w:r>
        <w:rPr>
          <w:rFonts w:ascii="Tahoma" w:eastAsia="Times New Roman" w:hAnsi="Tahoma" w:cs="Tahoma"/>
          <w:color w:val="000000"/>
          <w:sz w:val="20"/>
          <w:szCs w:val="20"/>
          <w:lang w:eastAsia="ar-SA"/>
        </w:rPr>
        <w:t xml:space="preserve"> </w:t>
      </w:r>
      <w:r w:rsidRPr="00B50018">
        <w:rPr>
          <w:rFonts w:ascii="Tahoma" w:eastAsia="Times New Roman" w:hAnsi="Tahoma" w:cs="Tahoma"/>
          <w:sz w:val="20"/>
          <w:szCs w:val="20"/>
          <w:lang w:eastAsia="ar-SA"/>
        </w:rPr>
        <w:t>del Disciplinare</w:t>
      </w:r>
      <w:r w:rsidRPr="00F1326D">
        <w:rPr>
          <w:rFonts w:ascii="Tahoma" w:eastAsia="Times New Roman" w:hAnsi="Tahoma" w:cs="Tahoma"/>
          <w:color w:val="000000"/>
          <w:sz w:val="20"/>
          <w:szCs w:val="20"/>
          <w:lang w:eastAsia="ar-SA"/>
        </w:rPr>
        <w:t>, in tutte le loro parti, e di accettare tutte le condizioni e prescrizioni contenute nei sopra citati atti;</w:t>
      </w:r>
    </w:p>
    <w:p w:rsidR="00670583" w:rsidRPr="00F1326D" w:rsidRDefault="00670583" w:rsidP="00670583">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670583" w:rsidRPr="00F1326D" w:rsidRDefault="00670583" w:rsidP="00670583">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6" w:name="_Hlk20993364"/>
      <w:r>
        <w:rPr>
          <w:rFonts w:ascii="Tahoma" w:eastAsia="Times New Roman" w:hAnsi="Tahoma" w:cs="Tahoma"/>
          <w:bCs/>
          <w:kern w:val="1"/>
          <w:sz w:val="20"/>
          <w:szCs w:val="20"/>
          <w:lang w:eastAsia="ar-SA"/>
        </w:rPr>
        <w:t xml:space="preserve">(o della scadenza intermedia nel caso di consorzio) </w:t>
      </w:r>
      <w:bookmarkEnd w:id="6"/>
      <w:r w:rsidRPr="00F1326D">
        <w:rPr>
          <w:rFonts w:ascii="Tahoma" w:eastAsia="Times New Roman" w:hAnsi="Tahoma" w:cs="Tahoma"/>
          <w:bCs/>
          <w:kern w:val="1"/>
          <w:sz w:val="20"/>
          <w:szCs w:val="20"/>
          <w:lang w:eastAsia="ar-SA"/>
        </w:rPr>
        <w:t>della certificazione SOA posseduta, ma l'impresa ha richiesto la verifica in data ________________;</w:t>
      </w:r>
    </w:p>
    <w:p w:rsidR="00670583" w:rsidRPr="00F1326D" w:rsidRDefault="0070498B" w:rsidP="00670583">
      <w:pPr>
        <w:suppressAutoHyphens/>
        <w:spacing w:before="119" w:after="0" w:line="240" w:lineRule="auto"/>
        <w:jc w:val="center"/>
        <w:rPr>
          <w:rFonts w:ascii="Tahoma" w:eastAsia="Times New Roman" w:hAnsi="Tahoma" w:cs="Tahoma"/>
          <w:i/>
          <w:iCs/>
          <w:kern w:val="1"/>
          <w:sz w:val="20"/>
          <w:szCs w:val="20"/>
          <w:lang w:eastAsia="ar-SA"/>
        </w:rPr>
      </w:pPr>
      <w:r w:rsidRPr="00ED2535">
        <w:rPr>
          <w:rFonts w:ascii="Tahoma" w:eastAsia="Times New Roman" w:hAnsi="Tahoma" w:cs="Tahoma"/>
          <w:i/>
          <w:iCs/>
          <w:kern w:val="1"/>
          <w:sz w:val="20"/>
          <w:szCs w:val="20"/>
          <w:lang w:eastAsia="ar-SA"/>
        </w:rPr>
        <w:t>e, inoltre</w:t>
      </w:r>
      <w:r w:rsidR="00670583" w:rsidRPr="00ED2535">
        <w:rPr>
          <w:rFonts w:ascii="Tahoma" w:eastAsia="Times New Roman" w:hAnsi="Tahoma" w:cs="Tahoma"/>
          <w:i/>
          <w:iCs/>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670583" w:rsidRPr="00F1326D" w:rsidRDefault="00670583" w:rsidP="00670583">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p>
    <w:p w:rsidR="00670583"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670583" w:rsidRPr="00F1326D" w:rsidRDefault="00670583" w:rsidP="00670583">
      <w:pPr>
        <w:suppressAutoHyphens/>
        <w:spacing w:before="119" w:after="0" w:line="240" w:lineRule="auto"/>
        <w:ind w:left="1080"/>
        <w:jc w:val="both"/>
        <w:rPr>
          <w:rFonts w:ascii="Tahoma" w:eastAsia="Times New Roman" w:hAnsi="Tahoma" w:cs="Tahoma"/>
          <w:bCs/>
          <w:kern w:val="1"/>
          <w:sz w:val="20"/>
          <w:szCs w:val="20"/>
          <w:lang w:eastAsia="ar-SA"/>
        </w:rPr>
      </w:pP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670583" w:rsidRDefault="00670583" w:rsidP="00670583">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9D46E2" w:rsidRPr="009D46E2" w:rsidRDefault="009D46E2" w:rsidP="009D46E2">
      <w:pPr>
        <w:numPr>
          <w:ilvl w:val="0"/>
          <w:numId w:val="2"/>
        </w:numPr>
        <w:suppressAutoHyphens/>
        <w:spacing w:before="120" w:after="120" w:line="240" w:lineRule="auto"/>
        <w:jc w:val="both"/>
        <w:rPr>
          <w:rFonts w:ascii="Tahoma" w:eastAsia="Times New Roman" w:hAnsi="Tahoma" w:cs="Tahoma"/>
          <w:color w:val="000000"/>
          <w:sz w:val="20"/>
          <w:szCs w:val="20"/>
        </w:rPr>
      </w:pPr>
      <w:r w:rsidRPr="00D05C91">
        <w:rPr>
          <w:rFonts w:ascii="Tahoma" w:eastAsia="Times New Roman" w:hAnsi="Tahoma" w:cs="Tahoma"/>
          <w:color w:val="000000"/>
          <w:sz w:val="20"/>
          <w:szCs w:val="20"/>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670583" w:rsidRPr="009D52FB" w:rsidRDefault="00670583" w:rsidP="00670583">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151ECD">
        <w:rPr>
          <w:rFonts w:ascii="Tahoma" w:eastAsia="Times New Roman" w:hAnsi="Tahoma" w:cs="Tahoma"/>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w:t>
      </w:r>
      <w:r>
        <w:rPr>
          <w:rFonts w:ascii="Tahoma" w:eastAsia="Times New Roman" w:hAnsi="Tahoma" w:cs="Tahoma"/>
          <w:color w:val="000000"/>
          <w:sz w:val="20"/>
          <w:szCs w:val="20"/>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rsidR="00670583" w:rsidRPr="00AA6C47" w:rsidRDefault="00670583" w:rsidP="00670583">
      <w:pPr>
        <w:pStyle w:val="Corpotesto"/>
        <w:numPr>
          <w:ilvl w:val="0"/>
          <w:numId w:val="2"/>
        </w:numPr>
        <w:suppressAutoHyphens/>
        <w:autoSpaceDE w:val="0"/>
        <w:spacing w:before="40" w:line="240" w:lineRule="auto"/>
        <w:jc w:val="both"/>
        <w:rPr>
          <w:rFonts w:ascii="Tahoma" w:eastAsia="Tahoma" w:hAnsi="Tahoma" w:cs="Tahoma"/>
          <w:b/>
          <w:sz w:val="20"/>
          <w:szCs w:val="20"/>
          <w:lang w:eastAsia="it-IT" w:bidi="it-IT"/>
        </w:rPr>
      </w:pPr>
      <w:r w:rsidRPr="00C20055">
        <w:rPr>
          <w:rFonts w:ascii="Tahoma" w:eastAsia="Times New Roman" w:hAnsi="Tahoma" w:cs="Tahoma"/>
          <w:color w:val="000000"/>
          <w:sz w:val="20"/>
          <w:szCs w:val="20"/>
        </w:rPr>
        <w:t xml:space="preserve">di essere edotto degli obblighi derivanti dal Codice di Comportamento dei dipendenti pubblici approvato con </w:t>
      </w:r>
      <w:r w:rsidR="004F4EF4" w:rsidRPr="004F4EF4">
        <w:rPr>
          <w:rFonts w:ascii="Tahoma" w:eastAsia="Times New Roman" w:hAnsi="Tahoma" w:cs="Tahoma"/>
          <w:color w:val="000000"/>
          <w:sz w:val="20"/>
          <w:szCs w:val="20"/>
        </w:rPr>
        <w:t xml:space="preserve">delibera </w:t>
      </w:r>
      <w:r w:rsidR="00AA6C47">
        <w:rPr>
          <w:rFonts w:ascii="Tahoma" w:eastAsia="Times New Roman" w:hAnsi="Tahoma" w:cs="Tahoma"/>
          <w:color w:val="000000"/>
          <w:sz w:val="20"/>
          <w:szCs w:val="20"/>
        </w:rPr>
        <w:t xml:space="preserve">di </w:t>
      </w:r>
      <w:r w:rsidR="00AA6C47" w:rsidRPr="00166E74">
        <w:rPr>
          <w:rFonts w:ascii="Tahoma" w:eastAsia="Tahoma" w:hAnsi="Tahoma" w:cs="Tahoma"/>
          <w:color w:val="000000"/>
          <w:kern w:val="2"/>
          <w:sz w:val="20"/>
          <w:szCs w:val="20"/>
          <w:lang w:eastAsia="ar-SA"/>
        </w:rPr>
        <w:t>Giunta del Comune di Ponte dell’Olio n. 6 del 29/01/2014</w:t>
      </w:r>
      <w:r w:rsidR="00AA6C47">
        <w:rPr>
          <w:rFonts w:ascii="Tahoma" w:eastAsia="Tahoma" w:hAnsi="Tahoma" w:cs="Tahoma"/>
          <w:color w:val="000000"/>
          <w:kern w:val="2"/>
          <w:sz w:val="20"/>
          <w:szCs w:val="20"/>
          <w:lang w:eastAsia="ar-SA"/>
        </w:rPr>
        <w:t xml:space="preserve"> </w:t>
      </w:r>
      <w:r w:rsidRPr="00C20055">
        <w:rPr>
          <w:rFonts w:ascii="Tahoma" w:eastAsia="Times New Roman" w:hAnsi="Tahoma" w:cs="Tahoma"/>
          <w:color w:val="000000"/>
          <w:sz w:val="20"/>
          <w:szCs w:val="20"/>
        </w:rPr>
        <w:t xml:space="preserve">e di impegnarsi, in caso di aggiudicazione, a osservare e far osservare ai propri dipendenti e collaboratori il suddetto codice, </w:t>
      </w:r>
      <w:r w:rsidRPr="00C20055">
        <w:rPr>
          <w:rFonts w:ascii="Tahoma" w:eastAsia="Times New Roman" w:hAnsi="Tahoma" w:cs="Tahoma"/>
          <w:color w:val="000000"/>
          <w:sz w:val="20"/>
          <w:szCs w:val="20"/>
          <w:u w:val="single"/>
        </w:rPr>
        <w:t>pena la risoluzione del contratto</w:t>
      </w:r>
      <w:r w:rsidRPr="00C20055">
        <w:rPr>
          <w:rFonts w:ascii="Tahoma" w:eastAsia="Times New Roman" w:hAnsi="Tahoma" w:cs="Tahoma"/>
          <w:color w:val="000000"/>
          <w:sz w:val="20"/>
          <w:szCs w:val="20"/>
          <w:lang w:eastAsia="ar-SA"/>
        </w:rPr>
        <w:t>;</w:t>
      </w:r>
    </w:p>
    <w:p w:rsidR="00AA6C47" w:rsidRPr="005D2850" w:rsidRDefault="00AA6C47" w:rsidP="00AA6C47">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BB01F0">
        <w:rPr>
          <w:rFonts w:ascii="Tahoma" w:eastAsia="Times New Roman" w:hAnsi="Tahoma" w:cs="Tahoma"/>
          <w:color w:val="000000"/>
          <w:sz w:val="20"/>
          <w:szCs w:val="20"/>
          <w:lang w:eastAsia="ar-SA" w:bidi="it-IT"/>
        </w:rPr>
        <w:t xml:space="preserve">di accettare, a pena di esclusione, le clausole contenute nel “Protocollo d'intesa per la prevenzione dei tentativi di infiltrazione della criminalità organizzata nel settore degli appalti e concessioni di lavori pubblici” </w:t>
      </w:r>
      <w:r w:rsidRPr="00166E74">
        <w:rPr>
          <w:rFonts w:ascii="Tahoma" w:hAnsi="Tahoma" w:cs="Tahoma"/>
          <w:color w:val="000000"/>
          <w:sz w:val="20"/>
          <w:szCs w:val="20"/>
        </w:rPr>
        <w:t xml:space="preserve">sottoscritto dal Comune di Ponte dell’Olio e la Prefettura di Piacenza in data 24.09.2020, il cui testo è rinvenibile al seguente </w:t>
      </w:r>
      <w:r w:rsidRPr="00973FCE">
        <w:rPr>
          <w:rFonts w:ascii="Tahoma" w:hAnsi="Tahoma" w:cs="Tahoma"/>
          <w:color w:val="000000"/>
          <w:sz w:val="20"/>
          <w:szCs w:val="20"/>
        </w:rPr>
        <w:t>lin</w:t>
      </w:r>
      <w:r>
        <w:rPr>
          <w:rFonts w:ascii="Tahoma" w:hAnsi="Tahoma" w:cs="Tahoma"/>
          <w:color w:val="000000"/>
          <w:sz w:val="20"/>
          <w:szCs w:val="20"/>
        </w:rPr>
        <w:t xml:space="preserve">k </w:t>
      </w:r>
      <w:hyperlink r:id="rId5" w:history="1">
        <w:r w:rsidRPr="003A0435">
          <w:rPr>
            <w:rStyle w:val="Collegamentoipertestuale"/>
            <w:rFonts w:ascii="Tahoma" w:hAnsi="Tahoma" w:cs="Tahoma"/>
          </w:rPr>
          <w:t>https://www.halleyweb.com/c033036/zf/index.php/trasparenza/index/index/categoria/8</w:t>
        </w:r>
      </w:hyperlink>
      <w:r w:rsidR="00601037">
        <w:rPr>
          <w:rFonts w:ascii="Tahoma" w:hAnsi="Tahoma" w:cs="Tahoma"/>
        </w:rPr>
        <w:t>;</w:t>
      </w:r>
    </w:p>
    <w:p w:rsidR="005D2850" w:rsidRPr="005D2850" w:rsidRDefault="005D2850" w:rsidP="005D2850">
      <w:pPr>
        <w:numPr>
          <w:ilvl w:val="0"/>
          <w:numId w:val="2"/>
        </w:numPr>
        <w:suppressAutoHyphens/>
        <w:spacing w:before="119" w:after="62" w:line="276" w:lineRule="auto"/>
        <w:jc w:val="both"/>
        <w:rPr>
          <w:rFonts w:ascii="Tahoma" w:eastAsia="Times New Roman" w:hAnsi="Tahoma" w:cs="Tahoma"/>
          <w:color w:val="000000"/>
          <w:sz w:val="20"/>
          <w:szCs w:val="20"/>
        </w:rPr>
      </w:pPr>
      <w:r w:rsidRPr="009B3246">
        <w:rPr>
          <w:rFonts w:ascii="Tahoma" w:eastAsia="Times New Roman" w:hAnsi="Tahoma" w:cs="Tahoma"/>
          <w:color w:val="000000"/>
          <w:sz w:val="20"/>
          <w:szCs w:val="20"/>
        </w:rPr>
        <w:t>di essere iscritto, ai sensi del comma 52 dell’art. 1 della Legge 190/2012, nell’elenco dei fornitori e prestatori di servizi non soggetti a tentativo di infiltrazione mafiosa (c.d. white list), istituito presso la Prefettura della Provincia di _____</w:t>
      </w:r>
      <w:r>
        <w:rPr>
          <w:rFonts w:ascii="Tahoma" w:eastAsia="Times New Roman" w:hAnsi="Tahoma" w:cs="Tahoma"/>
          <w:color w:val="000000"/>
          <w:sz w:val="20"/>
          <w:szCs w:val="20"/>
        </w:rPr>
        <w:t>_______________________________________</w:t>
      </w:r>
      <w:r w:rsidRPr="009B3246">
        <w:rPr>
          <w:rFonts w:ascii="Tahoma" w:eastAsia="Times New Roman" w:hAnsi="Tahoma" w:cs="Tahoma"/>
          <w:color w:val="000000"/>
          <w:sz w:val="20"/>
          <w:szCs w:val="20"/>
        </w:rPr>
        <w:t>_ (</w:t>
      </w:r>
      <w:r w:rsidRPr="00710292">
        <w:rPr>
          <w:rFonts w:ascii="Tahoma" w:eastAsia="Times New Roman" w:hAnsi="Tahoma" w:cs="Tahoma"/>
          <w:i/>
          <w:color w:val="000000"/>
          <w:sz w:val="20"/>
          <w:szCs w:val="20"/>
        </w:rPr>
        <w:t>indicare la Prefettura della Provincia in cui ha sede legale la ditta</w:t>
      </w:r>
      <w:r w:rsidRPr="009B3246">
        <w:rPr>
          <w:rFonts w:ascii="Tahoma" w:eastAsia="Times New Roman" w:hAnsi="Tahoma" w:cs="Tahoma"/>
          <w:color w:val="000000"/>
          <w:sz w:val="20"/>
          <w:szCs w:val="20"/>
        </w:rPr>
        <w:t>) oppure, in alternativa, aver presentato domanda di iscrizione in tale elenco, indicando la data</w:t>
      </w:r>
      <w:r>
        <w:rPr>
          <w:rFonts w:ascii="Tahoma" w:eastAsia="Times New Roman" w:hAnsi="Tahoma" w:cs="Tahoma"/>
          <w:color w:val="000000"/>
          <w:sz w:val="20"/>
          <w:szCs w:val="20"/>
        </w:rPr>
        <w:t>:</w:t>
      </w:r>
      <w:r w:rsidRPr="009B3246">
        <w:rPr>
          <w:rFonts w:ascii="Tahoma" w:eastAsia="Times New Roman" w:hAnsi="Tahoma" w:cs="Tahoma"/>
          <w:color w:val="000000"/>
          <w:sz w:val="20"/>
          <w:szCs w:val="20"/>
        </w:rPr>
        <w:t xml:space="preserve"> ___________________</w:t>
      </w:r>
      <w:r>
        <w:rPr>
          <w:rFonts w:ascii="Tahoma" w:eastAsia="Times New Roman" w:hAnsi="Tahoma" w:cs="Tahoma"/>
          <w:color w:val="000000"/>
          <w:sz w:val="20"/>
          <w:szCs w:val="20"/>
        </w:rPr>
        <w:t>_______</w:t>
      </w:r>
      <w:r w:rsidRPr="009B3246">
        <w:rPr>
          <w:rFonts w:ascii="Tahoma" w:eastAsia="Times New Roman" w:hAnsi="Tahoma" w:cs="Tahoma"/>
          <w:color w:val="000000"/>
          <w:sz w:val="20"/>
          <w:szCs w:val="20"/>
        </w:rPr>
        <w:t xml:space="preserve"> (ai sensi del comma 52 dell’art. 1 della Legge 190/2012 e della Circolare Ministero dell’Interno prot. 25954 del 23/03/2016 e DPCM 18/04/2013, come aggiornato dal DPCM 24/11/2016). (</w:t>
      </w:r>
      <w:r w:rsidRPr="00710292">
        <w:rPr>
          <w:rFonts w:ascii="Tahoma" w:eastAsia="Times New Roman" w:hAnsi="Tahoma" w:cs="Tahoma"/>
          <w:b/>
          <w:i/>
          <w:color w:val="000000"/>
          <w:sz w:val="20"/>
          <w:szCs w:val="20"/>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r w:rsidRPr="00710292">
        <w:rPr>
          <w:rFonts w:ascii="Tahoma" w:eastAsia="Times New Roman" w:hAnsi="Tahoma" w:cs="Tahoma"/>
          <w:b/>
          <w:color w:val="000000"/>
          <w:sz w:val="20"/>
          <w:szCs w:val="20"/>
        </w:rPr>
        <w:t>);</w:t>
      </w:r>
    </w:p>
    <w:p w:rsidR="00E21D46" w:rsidRDefault="00E21D46" w:rsidP="00E21D46">
      <w:pPr>
        <w:suppressAutoHyphens/>
        <w:spacing w:after="62" w:line="240" w:lineRule="auto"/>
        <w:ind w:left="360"/>
        <w:jc w:val="both"/>
        <w:rPr>
          <w:rFonts w:ascii="Tahoma" w:eastAsia="Times New Roman" w:hAnsi="Tahoma" w:cs="Tahoma"/>
          <w:color w:val="000000"/>
          <w:sz w:val="20"/>
          <w:szCs w:val="20"/>
          <w:lang w:eastAsia="ar-SA" w:bidi="it-IT"/>
        </w:rPr>
      </w:pP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lang w:eastAsia="ar-SA"/>
        </w:rPr>
      </w:pPr>
      <w:bookmarkStart w:id="7" w:name="_GoBack"/>
      <w:bookmarkEnd w:id="7"/>
      <w:r w:rsidRPr="00C45B23">
        <w:rPr>
          <w:rFonts w:ascii="Tahoma" w:eastAsia="Times New Roman" w:hAnsi="Tahoma" w:cs="Tahoma"/>
          <w:color w:val="000000"/>
          <w:sz w:val="20"/>
          <w:szCs w:val="20"/>
        </w:rPr>
        <w:t>Se la documentazione pertinente è disponibile elettronicamente, indicare: indirizzo web, autorità o organismo di emanazione, riferimento preciso della documentazione):</w:t>
      </w:r>
      <w:r>
        <w:rPr>
          <w:rFonts w:ascii="Tahoma" w:eastAsia="Times New Roman" w:hAnsi="Tahoma" w:cs="Tahoma"/>
          <w:color w:val="000000"/>
          <w:sz w:val="20"/>
          <w:szCs w:val="20"/>
        </w:rPr>
        <w:t xml:space="preserve"> _______________________________________________________________________________________________________________________________________________________________________;</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rsidR="00670583" w:rsidRPr="00CC1626" w:rsidRDefault="00670583" w:rsidP="00670583">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rsidR="00670583"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rsidR="00670583" w:rsidRPr="00DF5AC8" w:rsidRDefault="00670583" w:rsidP="00670583">
      <w:pPr>
        <w:suppressAutoHyphens/>
        <w:spacing w:before="119" w:after="62" w:line="240" w:lineRule="auto"/>
        <w:ind w:left="360"/>
        <w:jc w:val="both"/>
        <w:rPr>
          <w:rFonts w:ascii="Tahoma" w:eastAsia="Times New Roman" w:hAnsi="Tahoma" w:cs="Tahoma"/>
          <w:color w:val="000000"/>
          <w:sz w:val="20"/>
          <w:szCs w:val="20"/>
        </w:rPr>
      </w:pPr>
    </w:p>
    <w:p w:rsidR="00670583" w:rsidRPr="003353A5"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060DA2" w:rsidRPr="00A94400" w:rsidRDefault="00670583" w:rsidP="00A94400">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sectPr w:rsidR="00060DA2" w:rsidRPr="00A944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4F"/>
    <w:rsid w:val="00060DA2"/>
    <w:rsid w:val="00084464"/>
    <w:rsid w:val="001D5B03"/>
    <w:rsid w:val="003E7F40"/>
    <w:rsid w:val="00450947"/>
    <w:rsid w:val="004F4EF4"/>
    <w:rsid w:val="005D2850"/>
    <w:rsid w:val="00601037"/>
    <w:rsid w:val="00670583"/>
    <w:rsid w:val="006F1518"/>
    <w:rsid w:val="00703C00"/>
    <w:rsid w:val="0070498B"/>
    <w:rsid w:val="007D0CFC"/>
    <w:rsid w:val="007F1E0B"/>
    <w:rsid w:val="008848E6"/>
    <w:rsid w:val="009D46E2"/>
    <w:rsid w:val="00A36176"/>
    <w:rsid w:val="00A94400"/>
    <w:rsid w:val="00AA6C47"/>
    <w:rsid w:val="00B6555E"/>
    <w:rsid w:val="00C46088"/>
    <w:rsid w:val="00CF1E4F"/>
    <w:rsid w:val="00DA4F76"/>
    <w:rsid w:val="00DE6412"/>
    <w:rsid w:val="00E21D46"/>
    <w:rsid w:val="00ED2535"/>
    <w:rsid w:val="00F12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84F4"/>
  <w15:chartTrackingRefBased/>
  <w15:docId w15:val="{9C623DBE-CCC8-49C1-9AC7-EFC2620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058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70583"/>
    <w:pPr>
      <w:spacing w:before="100" w:beforeAutospacing="1" w:after="119"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unhideWhenUsed/>
    <w:rsid w:val="00670583"/>
    <w:pPr>
      <w:spacing w:after="120"/>
    </w:pPr>
  </w:style>
  <w:style w:type="character" w:customStyle="1" w:styleId="CorpotestoCarattere">
    <w:name w:val="Corpo testo Carattere"/>
    <w:basedOn w:val="Carpredefinitoparagrafo"/>
    <w:link w:val="Corpotesto"/>
    <w:uiPriority w:val="99"/>
    <w:rsid w:val="00670583"/>
    <w:rPr>
      <w:rFonts w:ascii="Calibri" w:eastAsia="Calibri" w:hAnsi="Calibri" w:cs="Times New Roman"/>
    </w:rPr>
  </w:style>
  <w:style w:type="paragraph" w:styleId="Paragrafoelenco">
    <w:name w:val="List Paragraph"/>
    <w:basedOn w:val="Normale"/>
    <w:uiPriority w:val="34"/>
    <w:qFormat/>
    <w:rsid w:val="00670583"/>
    <w:pPr>
      <w:suppressAutoHyphens/>
      <w:spacing w:line="252" w:lineRule="auto"/>
      <w:ind w:left="720"/>
      <w:contextualSpacing/>
    </w:pPr>
    <w:rPr>
      <w:lang w:eastAsia="ar-SA"/>
    </w:rPr>
  </w:style>
  <w:style w:type="character" w:styleId="Collegamentoipertestuale">
    <w:name w:val="Hyperlink"/>
    <w:unhideWhenUsed/>
    <w:rsid w:val="00AA6C47"/>
    <w:rPr>
      <w:color w:val="0000FF"/>
      <w:u w:val="single"/>
    </w:rPr>
  </w:style>
  <w:style w:type="character" w:styleId="Menzionenonrisolta">
    <w:name w:val="Unresolved Mention"/>
    <w:basedOn w:val="Carpredefinitoparagrafo"/>
    <w:uiPriority w:val="99"/>
    <w:semiHidden/>
    <w:unhideWhenUsed/>
    <w:rsid w:val="00AA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lleyweb.com/c033036/zf/index.php/trasparenza/index/index/categoria/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1970</Words>
  <Characters>11232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Viviana</dc:creator>
  <cp:keywords/>
  <dc:description/>
  <cp:lastModifiedBy>Arena, Viviana</cp:lastModifiedBy>
  <cp:revision>25</cp:revision>
  <dcterms:created xsi:type="dcterms:W3CDTF">2021-01-18T11:13:00Z</dcterms:created>
  <dcterms:modified xsi:type="dcterms:W3CDTF">2021-06-01T10:12:00Z</dcterms:modified>
</cp:coreProperties>
</file>